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43" w:rsidRPr="00452F43" w:rsidRDefault="00452F43" w:rsidP="00E13D14">
      <w:pPr>
        <w:widowControl/>
        <w:shd w:val="clear" w:color="auto" w:fill="DAEDFA"/>
        <w:spacing w:before="150" w:after="150"/>
        <w:ind w:firstLineChars="200" w:firstLine="561"/>
        <w:jc w:val="center"/>
        <w:outlineLvl w:val="4"/>
        <w:rPr>
          <w:rFonts w:ascii="標楷體" w:eastAsia="標楷體" w:hAnsi="標楷體" w:cs="Helvetica"/>
          <w:b/>
          <w:bCs/>
          <w:color w:val="5C4F4E"/>
          <w:kern w:val="0"/>
          <w:sz w:val="28"/>
          <w:szCs w:val="28"/>
        </w:rPr>
      </w:pPr>
      <w:r w:rsidRPr="00452F43">
        <w:rPr>
          <w:rFonts w:ascii="標楷體" w:eastAsia="標楷體" w:hAnsi="標楷體" w:cs="Helvetica"/>
          <w:b/>
          <w:bCs/>
          <w:color w:val="5C4F4E"/>
          <w:kern w:val="0"/>
          <w:sz w:val="28"/>
          <w:szCs w:val="28"/>
        </w:rPr>
        <w:t>學習型兼任助理團體保險說明及表單</w:t>
      </w:r>
    </w:p>
    <w:p w:rsidR="00E13D14" w:rsidRDefault="00E13D14" w:rsidP="00452F43">
      <w:pPr>
        <w:widowControl/>
        <w:spacing w:after="150" w:line="336" w:lineRule="atLeast"/>
        <w:jc w:val="both"/>
        <w:rPr>
          <w:rFonts w:ascii="標楷體" w:eastAsia="標楷體" w:hAnsi="標楷體" w:cs="Helvetica"/>
          <w:color w:val="333333"/>
          <w:spacing w:val="24"/>
          <w:kern w:val="0"/>
          <w:sz w:val="26"/>
          <w:szCs w:val="26"/>
        </w:rPr>
      </w:pPr>
    </w:p>
    <w:p w:rsidR="00452F43" w:rsidRPr="00452F43" w:rsidRDefault="00452F43" w:rsidP="00452F43">
      <w:pPr>
        <w:widowControl/>
        <w:spacing w:after="150" w:line="336" w:lineRule="atLeast"/>
        <w:jc w:val="both"/>
        <w:rPr>
          <w:rFonts w:ascii="標楷體" w:eastAsia="標楷體" w:hAnsi="標楷體" w:cs="Helvetica"/>
          <w:color w:val="333333"/>
          <w:spacing w:val="24"/>
          <w:kern w:val="0"/>
          <w:sz w:val="26"/>
          <w:szCs w:val="26"/>
        </w:rPr>
      </w:pPr>
      <w:r w:rsidRPr="00452F43">
        <w:rPr>
          <w:rFonts w:ascii="標楷體" w:eastAsia="標楷體" w:hAnsi="標楷體" w:cs="Helvetica"/>
          <w:color w:val="333333"/>
          <w:spacing w:val="24"/>
          <w:kern w:val="0"/>
          <w:sz w:val="26"/>
          <w:szCs w:val="26"/>
        </w:rPr>
        <w:t>一、研究計畫學習型</w:t>
      </w:r>
      <w:r w:rsidR="00AC603B">
        <w:rPr>
          <w:rFonts w:ascii="標楷體" w:eastAsia="標楷體" w:hAnsi="標楷體" w:cs="Helvetica" w:hint="eastAsia"/>
          <w:color w:val="333333"/>
          <w:spacing w:val="24"/>
          <w:kern w:val="0"/>
          <w:sz w:val="26"/>
          <w:szCs w:val="26"/>
        </w:rPr>
        <w:t>學生兼任</w:t>
      </w:r>
      <w:r w:rsidRPr="00452F43">
        <w:rPr>
          <w:rFonts w:ascii="標楷體" w:eastAsia="標楷體" w:hAnsi="標楷體" w:cs="Helvetica"/>
          <w:color w:val="333333"/>
          <w:spacing w:val="24"/>
          <w:kern w:val="0"/>
          <w:sz w:val="26"/>
          <w:szCs w:val="26"/>
        </w:rPr>
        <w:t>助理團體保險適用對象：</w:t>
      </w:r>
    </w:p>
    <w:p w:rsidR="00452F43" w:rsidRPr="00452F43" w:rsidRDefault="00452F43" w:rsidP="00E13D14">
      <w:pPr>
        <w:widowControl/>
        <w:numPr>
          <w:ilvl w:val="0"/>
          <w:numId w:val="1"/>
        </w:numPr>
        <w:shd w:val="clear" w:color="auto" w:fill="FAF9F7"/>
        <w:spacing w:before="100" w:beforeAutospacing="1" w:after="100" w:afterAutospacing="1" w:line="336" w:lineRule="atLeast"/>
        <w:ind w:left="825"/>
        <w:rPr>
          <w:rFonts w:ascii="標楷體" w:eastAsia="標楷體" w:hAnsi="標楷體" w:cs="Helvetica"/>
          <w:color w:val="5C4F4E"/>
          <w:kern w:val="0"/>
          <w:sz w:val="26"/>
          <w:szCs w:val="26"/>
        </w:rPr>
      </w:pPr>
      <w:r w:rsidRPr="00452F43">
        <w:rPr>
          <w:rFonts w:ascii="標楷體" w:eastAsia="標楷體" w:hAnsi="標楷體" w:cs="Helvetica"/>
          <w:color w:val="5C4F4E"/>
          <w:kern w:val="0"/>
          <w:sz w:val="26"/>
          <w:szCs w:val="26"/>
        </w:rPr>
        <w:t>符合</w:t>
      </w:r>
      <w:r w:rsidR="00E13D14">
        <w:rPr>
          <w:rFonts w:ascii="標楷體" w:eastAsia="標楷體" w:hAnsi="標楷體" w:cs="Helvetica" w:hint="eastAsia"/>
          <w:color w:val="5C4F4E"/>
          <w:kern w:val="0"/>
          <w:sz w:val="26"/>
          <w:szCs w:val="26"/>
        </w:rPr>
        <w:t>教育部</w:t>
      </w:r>
      <w:r w:rsidRPr="00452F43">
        <w:rPr>
          <w:rFonts w:ascii="標楷體" w:eastAsia="標楷體" w:hAnsi="標楷體" w:cs="Helvetica"/>
          <w:color w:val="5C4F4E"/>
          <w:kern w:val="0"/>
          <w:sz w:val="26"/>
          <w:szCs w:val="26"/>
        </w:rPr>
        <w:t>"專科以上學校強化學生兼任助理學習與勞動權益保障處理原則"所載之學習範疇及原則，始得為學習型學生兼任助理。</w:t>
      </w:r>
    </w:p>
    <w:p w:rsidR="00452F43" w:rsidRPr="00452F43" w:rsidRDefault="00452F43" w:rsidP="00452F43">
      <w:pPr>
        <w:widowControl/>
        <w:numPr>
          <w:ilvl w:val="0"/>
          <w:numId w:val="1"/>
        </w:numPr>
        <w:shd w:val="clear" w:color="auto" w:fill="FAF9F7"/>
        <w:spacing w:before="100" w:beforeAutospacing="1" w:after="100" w:afterAutospacing="1" w:line="336" w:lineRule="atLeast"/>
        <w:ind w:left="825"/>
        <w:rPr>
          <w:rFonts w:ascii="標楷體" w:eastAsia="標楷體" w:hAnsi="標楷體" w:cs="Helvetica"/>
          <w:color w:val="5C4F4E"/>
          <w:kern w:val="0"/>
          <w:sz w:val="26"/>
          <w:szCs w:val="26"/>
        </w:rPr>
      </w:pPr>
      <w:r w:rsidRPr="00452F43">
        <w:rPr>
          <w:rFonts w:ascii="標楷體" w:eastAsia="標楷體" w:hAnsi="標楷體" w:cs="Helvetica"/>
          <w:color w:val="5C4F4E"/>
          <w:kern w:val="0"/>
          <w:sz w:val="26"/>
          <w:szCs w:val="26"/>
        </w:rPr>
        <w:t>具有學籍之學生且擔任學習型研究助理、學習型教學助理或領取獎助學金而需從事服務學習活動之學生者（如領取大專校院弱勢學生助學計畫生活助學金或領取原住民族委員會獎助大專校院學生助學金等學生）。</w:t>
      </w:r>
    </w:p>
    <w:p w:rsidR="00452F43" w:rsidRPr="00452F43" w:rsidRDefault="00452F43" w:rsidP="00452F43">
      <w:pPr>
        <w:widowControl/>
        <w:spacing w:after="150" w:line="336" w:lineRule="atLeast"/>
        <w:jc w:val="both"/>
        <w:rPr>
          <w:rFonts w:ascii="標楷體" w:eastAsia="標楷體" w:hAnsi="標楷體" w:cs="Helvetica"/>
          <w:color w:val="333333"/>
          <w:spacing w:val="24"/>
          <w:kern w:val="0"/>
          <w:sz w:val="26"/>
          <w:szCs w:val="26"/>
        </w:rPr>
      </w:pPr>
      <w:r w:rsidRPr="00452F43">
        <w:rPr>
          <w:rFonts w:ascii="標楷體" w:eastAsia="標楷體" w:hAnsi="標楷體" w:cs="Helvetica"/>
          <w:color w:val="333333"/>
          <w:spacing w:val="24"/>
          <w:kern w:val="0"/>
          <w:sz w:val="26"/>
          <w:szCs w:val="26"/>
        </w:rPr>
        <w:t>二、保險範疇：</w:t>
      </w:r>
    </w:p>
    <w:p w:rsidR="00452F43" w:rsidRPr="00452F43" w:rsidRDefault="00452F43" w:rsidP="00452F43">
      <w:pPr>
        <w:widowControl/>
        <w:spacing w:after="150" w:line="336" w:lineRule="atLeast"/>
        <w:jc w:val="both"/>
        <w:rPr>
          <w:rFonts w:ascii="標楷體" w:eastAsia="標楷體" w:hAnsi="標楷體" w:cs="Helvetica"/>
          <w:color w:val="333333"/>
          <w:spacing w:val="24"/>
          <w:kern w:val="0"/>
          <w:sz w:val="26"/>
          <w:szCs w:val="26"/>
        </w:rPr>
      </w:pPr>
      <w:r w:rsidRPr="00452F43">
        <w:rPr>
          <w:rFonts w:ascii="標楷體" w:eastAsia="標楷體" w:hAnsi="標楷體" w:cs="Helvetica"/>
          <w:color w:val="333333"/>
          <w:spacing w:val="24"/>
          <w:kern w:val="0"/>
          <w:sz w:val="26"/>
          <w:szCs w:val="26"/>
        </w:rPr>
        <w:t xml:space="preserve">　　被保險人投保有效期間內，因遭受意外傷害事故</w:t>
      </w:r>
      <w:r w:rsidR="00D851C4">
        <w:rPr>
          <w:rFonts w:ascii="標楷體" w:eastAsia="標楷體" w:hAnsi="標楷體" w:cs="Helvetica" w:hint="eastAsia"/>
          <w:color w:val="333333"/>
          <w:spacing w:val="24"/>
          <w:kern w:val="0"/>
          <w:sz w:val="26"/>
          <w:szCs w:val="26"/>
        </w:rPr>
        <w:t>，</w:t>
      </w:r>
      <w:r w:rsidRPr="00452F43">
        <w:rPr>
          <w:rFonts w:ascii="標楷體" w:eastAsia="標楷體" w:hAnsi="標楷體" w:cs="Helvetica"/>
          <w:color w:val="333333"/>
          <w:spacing w:val="24"/>
          <w:kern w:val="0"/>
          <w:sz w:val="26"/>
          <w:szCs w:val="26"/>
        </w:rPr>
        <w:t>以致</w:t>
      </w:r>
      <w:r w:rsidRPr="00D851C4">
        <w:rPr>
          <w:rFonts w:ascii="標楷體" w:eastAsia="標楷體" w:hAnsi="標楷體" w:cs="Helvetica"/>
          <w:b/>
          <w:color w:val="333333"/>
          <w:spacing w:val="24"/>
          <w:kern w:val="0"/>
          <w:sz w:val="26"/>
          <w:szCs w:val="26"/>
        </w:rPr>
        <w:t>身故、殘廢</w:t>
      </w:r>
      <w:r w:rsidR="00D851C4" w:rsidRPr="00D851C4">
        <w:rPr>
          <w:rFonts w:ascii="標楷體" w:eastAsia="標楷體" w:hAnsi="標楷體" w:cs="Helvetica" w:hint="eastAsia"/>
          <w:b/>
          <w:color w:val="333333"/>
          <w:spacing w:val="24"/>
          <w:kern w:val="0"/>
          <w:sz w:val="26"/>
          <w:szCs w:val="26"/>
        </w:rPr>
        <w:t>或傷害</w:t>
      </w:r>
      <w:r w:rsidRPr="00452F43">
        <w:rPr>
          <w:rFonts w:ascii="標楷體" w:eastAsia="標楷體" w:hAnsi="標楷體" w:cs="Helvetica"/>
          <w:color w:val="333333"/>
          <w:spacing w:val="24"/>
          <w:kern w:val="0"/>
          <w:sz w:val="26"/>
          <w:szCs w:val="26"/>
        </w:rPr>
        <w:t>、需要住院或門診治療者，</w:t>
      </w:r>
      <w:r w:rsidR="00A61641">
        <w:rPr>
          <w:rFonts w:ascii="sөũ" w:hAnsi="sөũ"/>
          <w:color w:val="000000"/>
          <w:sz w:val="23"/>
          <w:szCs w:val="23"/>
        </w:rPr>
        <w:t>旺</w:t>
      </w:r>
      <w:proofErr w:type="gramStart"/>
      <w:r w:rsidR="00A61641">
        <w:rPr>
          <w:rFonts w:ascii="sөũ" w:hAnsi="sөũ"/>
          <w:color w:val="000000"/>
          <w:sz w:val="23"/>
          <w:szCs w:val="23"/>
        </w:rPr>
        <w:t>旺</w:t>
      </w:r>
      <w:proofErr w:type="gramEnd"/>
      <w:r w:rsidR="00A61641">
        <w:rPr>
          <w:rFonts w:ascii="sөũ" w:hAnsi="sөũ"/>
          <w:color w:val="000000"/>
          <w:sz w:val="23"/>
          <w:szCs w:val="23"/>
        </w:rPr>
        <w:t>友聯產物保險股份有限公司</w:t>
      </w:r>
      <w:r w:rsidRPr="00452F43">
        <w:rPr>
          <w:rFonts w:ascii="標楷體" w:eastAsia="標楷體" w:hAnsi="標楷體" w:cs="Helvetica"/>
          <w:color w:val="333333"/>
          <w:spacing w:val="24"/>
          <w:kern w:val="0"/>
          <w:sz w:val="26"/>
          <w:szCs w:val="26"/>
        </w:rPr>
        <w:t>依照契約約定給付保險金。前項所稱意外傷害事故係指非</w:t>
      </w:r>
      <w:r w:rsidR="00D851C4">
        <w:rPr>
          <w:rFonts w:ascii="標楷體" w:eastAsia="標楷體" w:hAnsi="標楷體" w:cs="Helvetica" w:hint="eastAsia"/>
          <w:color w:val="333333"/>
          <w:spacing w:val="24"/>
          <w:kern w:val="0"/>
          <w:sz w:val="26"/>
          <w:szCs w:val="26"/>
        </w:rPr>
        <w:t>由</w:t>
      </w:r>
      <w:r w:rsidRPr="00452F43">
        <w:rPr>
          <w:rFonts w:ascii="標楷體" w:eastAsia="標楷體" w:hAnsi="標楷體" w:cs="Helvetica"/>
          <w:color w:val="333333"/>
          <w:spacing w:val="24"/>
          <w:kern w:val="0"/>
          <w:sz w:val="26"/>
          <w:szCs w:val="26"/>
        </w:rPr>
        <w:t>疾病引起之外來意外事故。</w:t>
      </w:r>
    </w:p>
    <w:p w:rsidR="00452F43" w:rsidRDefault="00452F43" w:rsidP="00452F43">
      <w:pPr>
        <w:widowControl/>
        <w:spacing w:after="150" w:line="336" w:lineRule="atLeast"/>
        <w:jc w:val="both"/>
        <w:rPr>
          <w:rFonts w:ascii="標楷體" w:eastAsia="標楷體" w:hAnsi="標楷體" w:cs="Helvetica"/>
          <w:color w:val="333333"/>
          <w:spacing w:val="24"/>
          <w:kern w:val="0"/>
          <w:sz w:val="26"/>
          <w:szCs w:val="26"/>
        </w:rPr>
      </w:pPr>
      <w:r w:rsidRPr="00452F43">
        <w:rPr>
          <w:rFonts w:ascii="標楷體" w:eastAsia="標楷體" w:hAnsi="標楷體" w:cs="Helvetica"/>
          <w:color w:val="333333"/>
          <w:spacing w:val="24"/>
          <w:kern w:val="0"/>
          <w:sz w:val="26"/>
          <w:szCs w:val="26"/>
        </w:rPr>
        <w:t>三、保障內容：</w:t>
      </w:r>
    </w:p>
    <w:p w:rsidR="00776A87" w:rsidRDefault="00776A87" w:rsidP="00452F43">
      <w:pPr>
        <w:widowControl/>
        <w:spacing w:after="150" w:line="336" w:lineRule="atLeast"/>
        <w:jc w:val="both"/>
        <w:rPr>
          <w:rFonts w:ascii="標楷體" w:eastAsia="標楷體" w:hAnsi="標楷體" w:cs="Helvetica"/>
          <w:color w:val="333333"/>
          <w:spacing w:val="24"/>
          <w:kern w:val="0"/>
          <w:sz w:val="26"/>
          <w:szCs w:val="26"/>
        </w:rPr>
      </w:pPr>
    </w:p>
    <w:tbl>
      <w:tblPr>
        <w:tblW w:w="0" w:type="dxa"/>
        <w:tblCellSpacing w:w="0" w:type="dxa"/>
        <w:tblBorders>
          <w:top w:val="dotted" w:sz="6" w:space="0" w:color="666666"/>
          <w:left w:val="dotted" w:sz="6" w:space="0" w:color="666666"/>
          <w:right w:val="dotted" w:sz="6" w:space="0" w:color="666666"/>
        </w:tblBorders>
        <w:shd w:val="clear" w:color="auto" w:fill="FFFFFF"/>
        <w:tblCellMar>
          <w:left w:w="0" w:type="dxa"/>
          <w:right w:w="0" w:type="dxa"/>
        </w:tblCellMar>
        <w:tblLook w:val="04A0" w:firstRow="1" w:lastRow="0" w:firstColumn="1" w:lastColumn="0" w:noHBand="0" w:noVBand="1"/>
      </w:tblPr>
      <w:tblGrid>
        <w:gridCol w:w="3452"/>
        <w:gridCol w:w="3934"/>
        <w:gridCol w:w="1238"/>
      </w:tblGrid>
      <w:tr w:rsidR="00776A87" w:rsidRPr="00776A87" w:rsidTr="00776A87">
        <w:trPr>
          <w:tblCellSpacing w:w="0" w:type="dxa"/>
        </w:trPr>
        <w:tc>
          <w:tcPr>
            <w:tcW w:w="3645" w:type="dxa"/>
            <w:tcBorders>
              <w:bottom w:val="dotted" w:sz="6" w:space="0" w:color="666666"/>
            </w:tcBorders>
            <w:shd w:val="clear" w:color="auto" w:fill="FDE19F"/>
            <w:tcMar>
              <w:top w:w="45" w:type="dxa"/>
              <w:left w:w="45" w:type="dxa"/>
              <w:bottom w:w="45" w:type="dxa"/>
              <w:right w:w="45" w:type="dxa"/>
            </w:tcMar>
            <w:vAlign w:val="center"/>
            <w:hideMark/>
          </w:tcPr>
          <w:p w:rsidR="00776A87" w:rsidRPr="00776A87" w:rsidRDefault="00776A87" w:rsidP="00776A87">
            <w:pPr>
              <w:widowControl/>
              <w:jc w:val="center"/>
              <w:rPr>
                <w:rFonts w:ascii="Verdana" w:eastAsia="新細明體" w:hAnsi="Verdana" w:cs="新細明體"/>
                <w:b/>
                <w:bCs/>
                <w:color w:val="333333"/>
                <w:kern w:val="0"/>
                <w:sz w:val="20"/>
                <w:szCs w:val="20"/>
              </w:rPr>
            </w:pPr>
            <w:r w:rsidRPr="00776A87">
              <w:rPr>
                <w:rFonts w:ascii="Verdana" w:eastAsia="新細明體" w:hAnsi="Verdana" w:cs="新細明體"/>
                <w:b/>
                <w:bCs/>
                <w:color w:val="333333"/>
                <w:kern w:val="0"/>
                <w:sz w:val="20"/>
                <w:szCs w:val="20"/>
              </w:rPr>
              <w:t>保障內容</w:t>
            </w:r>
          </w:p>
        </w:tc>
        <w:tc>
          <w:tcPr>
            <w:tcW w:w="3000" w:type="pct"/>
            <w:gridSpan w:val="2"/>
            <w:tcBorders>
              <w:bottom w:val="dotted" w:sz="6" w:space="0" w:color="666666"/>
            </w:tcBorders>
            <w:shd w:val="clear" w:color="auto" w:fill="FDE19F"/>
            <w:tcMar>
              <w:top w:w="45" w:type="dxa"/>
              <w:left w:w="45" w:type="dxa"/>
              <w:bottom w:w="45" w:type="dxa"/>
              <w:right w:w="45" w:type="dxa"/>
            </w:tcMar>
            <w:vAlign w:val="center"/>
            <w:hideMark/>
          </w:tcPr>
          <w:p w:rsidR="00776A87" w:rsidRPr="00776A87" w:rsidRDefault="00776A87" w:rsidP="00776A87">
            <w:pPr>
              <w:widowControl/>
              <w:jc w:val="center"/>
              <w:rPr>
                <w:rFonts w:ascii="Verdana" w:eastAsia="新細明體" w:hAnsi="Verdana" w:cs="新細明體"/>
                <w:b/>
                <w:bCs/>
                <w:color w:val="333333"/>
                <w:kern w:val="0"/>
                <w:sz w:val="20"/>
                <w:szCs w:val="20"/>
              </w:rPr>
            </w:pPr>
            <w:r w:rsidRPr="00776A87">
              <w:rPr>
                <w:rFonts w:ascii="Verdana" w:eastAsia="新細明體" w:hAnsi="Verdana" w:cs="新細明體"/>
                <w:b/>
                <w:bCs/>
                <w:color w:val="333333"/>
                <w:kern w:val="0"/>
                <w:sz w:val="20"/>
                <w:szCs w:val="20"/>
              </w:rPr>
              <w:t>保險金額</w:t>
            </w:r>
          </w:p>
        </w:tc>
      </w:tr>
      <w:tr w:rsidR="00776A87" w:rsidRPr="00776A87" w:rsidTr="00776A87">
        <w:trPr>
          <w:tblCellSpacing w:w="0" w:type="dxa"/>
        </w:trPr>
        <w:tc>
          <w:tcPr>
            <w:tcW w:w="3630" w:type="dxa"/>
            <w:tcBorders>
              <w:bottom w:val="dotted" w:sz="6" w:space="0" w:color="666666"/>
              <w:right w:val="dotted" w:sz="6" w:space="0" w:color="666666"/>
            </w:tcBorders>
            <w:shd w:val="clear" w:color="auto" w:fill="FFFFFF"/>
            <w:tcMar>
              <w:top w:w="45" w:type="dxa"/>
              <w:left w:w="45" w:type="dxa"/>
              <w:bottom w:w="45" w:type="dxa"/>
              <w:right w:w="45" w:type="dxa"/>
            </w:tcMar>
            <w:vAlign w:val="center"/>
            <w:hideMark/>
          </w:tcPr>
          <w:p w:rsidR="00776A87" w:rsidRPr="00776A87" w:rsidRDefault="00776A87" w:rsidP="00776A87">
            <w:pPr>
              <w:widowControl/>
              <w:rPr>
                <w:rFonts w:ascii="Verdana" w:eastAsia="新細明體" w:hAnsi="Verdana" w:cs="新細明體"/>
                <w:color w:val="333333"/>
                <w:kern w:val="0"/>
                <w:sz w:val="20"/>
                <w:szCs w:val="20"/>
              </w:rPr>
            </w:pPr>
            <w:r w:rsidRPr="00776A87">
              <w:rPr>
                <w:rFonts w:ascii="Verdana" w:eastAsia="新細明體" w:hAnsi="Verdana" w:cs="新細明體"/>
                <w:color w:val="333333"/>
                <w:kern w:val="0"/>
                <w:sz w:val="20"/>
                <w:szCs w:val="20"/>
              </w:rPr>
              <w:t>傷害保險（含意外身故、殘廢）</w:t>
            </w:r>
          </w:p>
        </w:tc>
        <w:tc>
          <w:tcPr>
            <w:tcW w:w="0" w:type="auto"/>
            <w:gridSpan w:val="2"/>
            <w:tcBorders>
              <w:bottom w:val="dotted" w:sz="6" w:space="0" w:color="666666"/>
            </w:tcBorders>
            <w:shd w:val="clear" w:color="auto" w:fill="FFFFFF"/>
            <w:tcMar>
              <w:top w:w="45" w:type="dxa"/>
              <w:left w:w="45" w:type="dxa"/>
              <w:bottom w:w="45" w:type="dxa"/>
              <w:right w:w="45" w:type="dxa"/>
            </w:tcMar>
            <w:vAlign w:val="center"/>
            <w:hideMark/>
          </w:tcPr>
          <w:p w:rsidR="00776A87" w:rsidRPr="00776A87" w:rsidRDefault="00776A87" w:rsidP="00776A87">
            <w:pPr>
              <w:widowControl/>
              <w:rPr>
                <w:rFonts w:ascii="Verdana" w:eastAsia="新細明體" w:hAnsi="Verdana" w:cs="新細明體"/>
                <w:color w:val="333333"/>
                <w:kern w:val="0"/>
                <w:sz w:val="20"/>
                <w:szCs w:val="20"/>
              </w:rPr>
            </w:pPr>
            <w:r w:rsidRPr="00776A87">
              <w:rPr>
                <w:rFonts w:ascii="Verdana" w:eastAsia="新細明體" w:hAnsi="Verdana" w:cs="新細明體"/>
                <w:color w:val="333333"/>
                <w:kern w:val="0"/>
                <w:sz w:val="20"/>
                <w:szCs w:val="20"/>
              </w:rPr>
              <w:t>每人最高理賠金額</w:t>
            </w:r>
            <w:r w:rsidRPr="00776A87">
              <w:rPr>
                <w:rFonts w:ascii="Verdana" w:eastAsia="新細明體" w:hAnsi="Verdana" w:cs="新細明體"/>
                <w:color w:val="333333"/>
                <w:kern w:val="0"/>
                <w:sz w:val="20"/>
                <w:szCs w:val="20"/>
              </w:rPr>
              <w:t xml:space="preserve">- </w:t>
            </w:r>
            <w:r w:rsidRPr="00776A87">
              <w:rPr>
                <w:rFonts w:ascii="Verdana" w:eastAsia="新細明體" w:hAnsi="Verdana" w:cs="新細明體"/>
                <w:color w:val="333333"/>
                <w:kern w:val="0"/>
                <w:sz w:val="20"/>
                <w:szCs w:val="20"/>
              </w:rPr>
              <w:t>新臺幣</w:t>
            </w:r>
            <w:r w:rsidRPr="00776A87">
              <w:rPr>
                <w:rFonts w:ascii="Verdana" w:eastAsia="新細明體" w:hAnsi="Verdana" w:cs="新細明體"/>
                <w:color w:val="333333"/>
                <w:kern w:val="0"/>
                <w:sz w:val="20"/>
                <w:szCs w:val="20"/>
              </w:rPr>
              <w:t>100</w:t>
            </w:r>
            <w:r w:rsidRPr="00776A87">
              <w:rPr>
                <w:rFonts w:ascii="Verdana" w:eastAsia="新細明體" w:hAnsi="Verdana" w:cs="新細明體"/>
                <w:color w:val="333333"/>
                <w:kern w:val="0"/>
                <w:sz w:val="20"/>
                <w:szCs w:val="20"/>
              </w:rPr>
              <w:t>萬元</w:t>
            </w:r>
          </w:p>
        </w:tc>
      </w:tr>
      <w:tr w:rsidR="00776A87" w:rsidRPr="00776A87" w:rsidTr="00776A87">
        <w:trPr>
          <w:tblCellSpacing w:w="0" w:type="dxa"/>
        </w:trPr>
        <w:tc>
          <w:tcPr>
            <w:tcW w:w="3630" w:type="dxa"/>
            <w:tcBorders>
              <w:bottom w:val="dotted" w:sz="6" w:space="0" w:color="666666"/>
              <w:right w:val="dotted" w:sz="6" w:space="0" w:color="666666"/>
            </w:tcBorders>
            <w:shd w:val="clear" w:color="auto" w:fill="FFFFFF"/>
            <w:tcMar>
              <w:top w:w="45" w:type="dxa"/>
              <w:left w:w="45" w:type="dxa"/>
              <w:bottom w:w="45" w:type="dxa"/>
              <w:right w:w="45" w:type="dxa"/>
            </w:tcMar>
            <w:vAlign w:val="center"/>
            <w:hideMark/>
          </w:tcPr>
          <w:p w:rsidR="00776A87" w:rsidRPr="00776A87" w:rsidRDefault="00776A87" w:rsidP="00776A87">
            <w:pPr>
              <w:widowControl/>
              <w:rPr>
                <w:rFonts w:ascii="Verdana" w:eastAsia="新細明體" w:hAnsi="Verdana" w:cs="新細明體"/>
                <w:color w:val="333333"/>
                <w:kern w:val="0"/>
                <w:sz w:val="20"/>
                <w:szCs w:val="20"/>
              </w:rPr>
            </w:pPr>
            <w:r w:rsidRPr="00776A87">
              <w:rPr>
                <w:rFonts w:ascii="Verdana" w:eastAsia="新細明體" w:hAnsi="Verdana" w:cs="新細明體"/>
                <w:color w:val="333333"/>
                <w:kern w:val="0"/>
                <w:sz w:val="20"/>
                <w:szCs w:val="20"/>
              </w:rPr>
              <w:t>傷害醫療保險</w:t>
            </w:r>
            <w:r w:rsidRPr="00776A87">
              <w:rPr>
                <w:rFonts w:ascii="Verdana" w:eastAsia="新細明體" w:hAnsi="Verdana" w:cs="新細明體"/>
                <w:color w:val="333333"/>
                <w:kern w:val="0"/>
                <w:sz w:val="20"/>
                <w:szCs w:val="20"/>
              </w:rPr>
              <w:t xml:space="preserve"> (</w:t>
            </w:r>
            <w:r w:rsidRPr="00776A87">
              <w:rPr>
                <w:rFonts w:ascii="Verdana" w:eastAsia="新細明體" w:hAnsi="Verdana" w:cs="新細明體"/>
                <w:color w:val="333333"/>
                <w:kern w:val="0"/>
                <w:sz w:val="20"/>
                <w:szCs w:val="20"/>
              </w:rPr>
              <w:t>含門診實支實付及傷害住院病房給付</w:t>
            </w:r>
            <w:r w:rsidRPr="00776A87">
              <w:rPr>
                <w:rFonts w:ascii="Verdana" w:eastAsia="新細明體" w:hAnsi="Verdana" w:cs="新細明體"/>
                <w:color w:val="333333"/>
                <w:kern w:val="0"/>
                <w:sz w:val="20"/>
                <w:szCs w:val="20"/>
              </w:rPr>
              <w:t>)</w:t>
            </w:r>
          </w:p>
        </w:tc>
        <w:tc>
          <w:tcPr>
            <w:tcW w:w="4095" w:type="dxa"/>
            <w:tcBorders>
              <w:bottom w:val="dotted" w:sz="6" w:space="0" w:color="666666"/>
              <w:right w:val="dotted" w:sz="6" w:space="0" w:color="666666"/>
            </w:tcBorders>
            <w:shd w:val="clear" w:color="auto" w:fill="FFFFFF"/>
            <w:tcMar>
              <w:top w:w="45" w:type="dxa"/>
              <w:left w:w="45" w:type="dxa"/>
              <w:bottom w:w="45" w:type="dxa"/>
              <w:right w:w="45" w:type="dxa"/>
            </w:tcMar>
            <w:vAlign w:val="center"/>
            <w:hideMark/>
          </w:tcPr>
          <w:p w:rsidR="00776A87" w:rsidRPr="00776A87" w:rsidRDefault="00776A87" w:rsidP="00776A87">
            <w:pPr>
              <w:widowControl/>
              <w:rPr>
                <w:rFonts w:ascii="Verdana" w:eastAsia="新細明體" w:hAnsi="Verdana" w:cs="新細明體"/>
                <w:color w:val="333333"/>
                <w:kern w:val="0"/>
                <w:sz w:val="20"/>
                <w:szCs w:val="20"/>
              </w:rPr>
            </w:pPr>
            <w:r w:rsidRPr="00776A87">
              <w:rPr>
                <w:rFonts w:ascii="Verdana" w:eastAsia="新細明體" w:hAnsi="Verdana" w:cs="新細明體"/>
                <w:color w:val="333333"/>
                <w:kern w:val="0"/>
                <w:sz w:val="20"/>
                <w:szCs w:val="20"/>
              </w:rPr>
              <w:t>甲型</w:t>
            </w:r>
            <w:r w:rsidRPr="00776A87">
              <w:rPr>
                <w:rFonts w:ascii="Verdana" w:eastAsia="新細明體" w:hAnsi="Verdana" w:cs="新細明體"/>
                <w:color w:val="333333"/>
                <w:kern w:val="0"/>
                <w:sz w:val="20"/>
                <w:szCs w:val="20"/>
              </w:rPr>
              <w:t>-</w:t>
            </w:r>
            <w:r w:rsidRPr="00776A87">
              <w:rPr>
                <w:rFonts w:ascii="Verdana" w:eastAsia="新細明體" w:hAnsi="Verdana" w:cs="新細明體"/>
                <w:color w:val="333333"/>
                <w:kern w:val="0"/>
                <w:sz w:val="20"/>
                <w:szCs w:val="20"/>
              </w:rPr>
              <w:t>意外門診醫療保險金（實支實付）</w:t>
            </w:r>
            <w:r w:rsidRPr="00776A87">
              <w:rPr>
                <w:rFonts w:ascii="Verdana" w:eastAsia="新細明體" w:hAnsi="Verdana" w:cs="新細明體"/>
                <w:color w:val="333333"/>
                <w:kern w:val="0"/>
                <w:sz w:val="20"/>
                <w:szCs w:val="20"/>
              </w:rPr>
              <w:br/>
            </w:r>
            <w:r w:rsidRPr="00776A87">
              <w:rPr>
                <w:rFonts w:ascii="Verdana" w:eastAsia="新細明體" w:hAnsi="Verdana" w:cs="新細明體"/>
                <w:color w:val="333333"/>
                <w:kern w:val="0"/>
                <w:sz w:val="20"/>
                <w:szCs w:val="20"/>
              </w:rPr>
              <w:t>乙型</w:t>
            </w:r>
            <w:r w:rsidRPr="00776A87">
              <w:rPr>
                <w:rFonts w:ascii="Verdana" w:eastAsia="新細明體" w:hAnsi="Verdana" w:cs="新細明體"/>
                <w:color w:val="333333"/>
                <w:kern w:val="0"/>
                <w:sz w:val="20"/>
                <w:szCs w:val="20"/>
              </w:rPr>
              <w:t>-</w:t>
            </w:r>
            <w:r w:rsidRPr="00776A87">
              <w:rPr>
                <w:rFonts w:ascii="Verdana" w:eastAsia="新細明體" w:hAnsi="Verdana" w:cs="新細明體"/>
                <w:color w:val="333333"/>
                <w:kern w:val="0"/>
                <w:sz w:val="20"/>
                <w:szCs w:val="20"/>
              </w:rPr>
              <w:t>意外住院醫療</w:t>
            </w:r>
            <w:r w:rsidRPr="00776A87">
              <w:rPr>
                <w:rFonts w:ascii="Verdana" w:eastAsia="新細明體" w:hAnsi="Verdana" w:cs="新細明體"/>
                <w:color w:val="333333"/>
                <w:kern w:val="0"/>
                <w:sz w:val="20"/>
                <w:szCs w:val="20"/>
              </w:rPr>
              <w:t>-</w:t>
            </w:r>
            <w:r w:rsidRPr="00776A87">
              <w:rPr>
                <w:rFonts w:ascii="Verdana" w:eastAsia="新細明體" w:hAnsi="Verdana" w:cs="新細明體"/>
                <w:color w:val="333333"/>
                <w:kern w:val="0"/>
                <w:sz w:val="20"/>
                <w:szCs w:val="20"/>
              </w:rPr>
              <w:t>日額新臺幣</w:t>
            </w:r>
            <w:r w:rsidRPr="00776A87">
              <w:rPr>
                <w:rFonts w:ascii="Verdana" w:eastAsia="新細明體" w:hAnsi="Verdana" w:cs="新細明體"/>
                <w:color w:val="333333"/>
                <w:kern w:val="0"/>
                <w:sz w:val="20"/>
                <w:szCs w:val="20"/>
              </w:rPr>
              <w:t>1</w:t>
            </w:r>
            <w:r w:rsidRPr="00776A87">
              <w:rPr>
                <w:rFonts w:ascii="Verdana" w:eastAsia="新細明體" w:hAnsi="Verdana" w:cs="新細明體"/>
                <w:color w:val="333333"/>
                <w:kern w:val="0"/>
                <w:sz w:val="20"/>
                <w:szCs w:val="20"/>
              </w:rPr>
              <w:t>仟元</w:t>
            </w:r>
          </w:p>
        </w:tc>
        <w:tc>
          <w:tcPr>
            <w:tcW w:w="1290" w:type="dxa"/>
            <w:tcBorders>
              <w:bottom w:val="dotted" w:sz="6" w:space="0" w:color="666666"/>
              <w:right w:val="dotted" w:sz="6" w:space="0" w:color="666666"/>
            </w:tcBorders>
            <w:shd w:val="clear" w:color="auto" w:fill="FFFFFF"/>
            <w:tcMar>
              <w:top w:w="45" w:type="dxa"/>
              <w:left w:w="45" w:type="dxa"/>
              <w:bottom w:w="45" w:type="dxa"/>
              <w:right w:w="45" w:type="dxa"/>
            </w:tcMar>
            <w:vAlign w:val="center"/>
            <w:hideMark/>
          </w:tcPr>
          <w:p w:rsidR="00776A87" w:rsidRPr="00776A87" w:rsidRDefault="00776A87" w:rsidP="00776A87">
            <w:pPr>
              <w:widowControl/>
              <w:rPr>
                <w:rFonts w:ascii="Verdana" w:eastAsia="新細明體" w:hAnsi="Verdana" w:cs="新細明體"/>
                <w:color w:val="333333"/>
                <w:kern w:val="0"/>
                <w:sz w:val="20"/>
                <w:szCs w:val="20"/>
              </w:rPr>
            </w:pPr>
            <w:r w:rsidRPr="00776A87">
              <w:rPr>
                <w:rFonts w:ascii="Verdana" w:eastAsia="新細明體" w:hAnsi="Verdana" w:cs="新細明體"/>
                <w:color w:val="333333"/>
                <w:kern w:val="0"/>
                <w:sz w:val="20"/>
                <w:szCs w:val="20"/>
              </w:rPr>
              <w:t>最高給付上限</w:t>
            </w:r>
            <w:r w:rsidRPr="00776A87">
              <w:rPr>
                <w:rFonts w:ascii="Verdana" w:eastAsia="新細明體" w:hAnsi="Verdana" w:cs="新細明體"/>
                <w:color w:val="333333"/>
                <w:kern w:val="0"/>
                <w:sz w:val="20"/>
                <w:szCs w:val="20"/>
              </w:rPr>
              <w:t>5</w:t>
            </w:r>
            <w:r w:rsidRPr="00776A87">
              <w:rPr>
                <w:rFonts w:ascii="Verdana" w:eastAsia="新細明體" w:hAnsi="Verdana" w:cs="新細明體"/>
                <w:color w:val="333333"/>
                <w:kern w:val="0"/>
                <w:sz w:val="20"/>
                <w:szCs w:val="20"/>
              </w:rPr>
              <w:t>萬元</w:t>
            </w:r>
          </w:p>
        </w:tc>
      </w:tr>
    </w:tbl>
    <w:p w:rsidR="00776A87" w:rsidRDefault="00776A87" w:rsidP="00452F43">
      <w:pPr>
        <w:widowControl/>
        <w:spacing w:after="150" w:line="336" w:lineRule="atLeast"/>
        <w:jc w:val="both"/>
        <w:rPr>
          <w:rFonts w:ascii="標楷體" w:eastAsia="標楷體" w:hAnsi="標楷體" w:cs="Helvetica"/>
          <w:color w:val="333333"/>
          <w:spacing w:val="24"/>
          <w:kern w:val="0"/>
          <w:sz w:val="26"/>
          <w:szCs w:val="26"/>
        </w:rPr>
      </w:pPr>
    </w:p>
    <w:p w:rsidR="00776A87" w:rsidRPr="00E13D14" w:rsidRDefault="00776A87" w:rsidP="00452F43">
      <w:pPr>
        <w:widowControl/>
        <w:spacing w:after="150" w:line="336" w:lineRule="atLeast"/>
        <w:jc w:val="both"/>
        <w:rPr>
          <w:rFonts w:ascii="標楷體" w:eastAsia="標楷體" w:hAnsi="標楷體" w:cs="Helvetica"/>
          <w:color w:val="333333"/>
          <w:spacing w:val="24"/>
          <w:kern w:val="0"/>
          <w:sz w:val="26"/>
          <w:szCs w:val="26"/>
        </w:rPr>
      </w:pPr>
    </w:p>
    <w:p w:rsidR="00E13D14" w:rsidRDefault="00776A87" w:rsidP="00452F43">
      <w:pPr>
        <w:widowControl/>
        <w:spacing w:after="150" w:line="336" w:lineRule="atLeast"/>
        <w:jc w:val="both"/>
        <w:rPr>
          <w:rFonts w:ascii="Helvetica" w:eastAsia="新細明體" w:hAnsi="Helvetica" w:cs="Helvetica"/>
          <w:color w:val="333333"/>
          <w:spacing w:val="24"/>
          <w:kern w:val="0"/>
          <w:sz w:val="26"/>
          <w:szCs w:val="26"/>
        </w:rPr>
      </w:pPr>
      <w:r>
        <w:rPr>
          <w:rFonts w:ascii="Helvetica" w:eastAsia="新細明體" w:hAnsi="Helvetica" w:cs="Helvetica" w:hint="eastAsia"/>
          <w:color w:val="333333"/>
          <w:spacing w:val="24"/>
          <w:kern w:val="0"/>
          <w:sz w:val="26"/>
          <w:szCs w:val="26"/>
        </w:rPr>
        <w:t>旺</w:t>
      </w:r>
      <w:proofErr w:type="gramStart"/>
      <w:r>
        <w:rPr>
          <w:rFonts w:ascii="Helvetica" w:eastAsia="新細明體" w:hAnsi="Helvetica" w:cs="Helvetica" w:hint="eastAsia"/>
          <w:color w:val="333333"/>
          <w:spacing w:val="24"/>
          <w:kern w:val="0"/>
          <w:sz w:val="26"/>
          <w:szCs w:val="26"/>
        </w:rPr>
        <w:t>旺</w:t>
      </w:r>
      <w:proofErr w:type="gramEnd"/>
      <w:r>
        <w:rPr>
          <w:rFonts w:ascii="Helvetica" w:eastAsia="新細明體" w:hAnsi="Helvetica" w:cs="Helvetica" w:hint="eastAsia"/>
          <w:color w:val="333333"/>
          <w:spacing w:val="24"/>
          <w:kern w:val="0"/>
          <w:sz w:val="26"/>
          <w:szCs w:val="26"/>
        </w:rPr>
        <w:t>友聯</w:t>
      </w:r>
      <w:r w:rsidR="00E13D14">
        <w:rPr>
          <w:rFonts w:ascii="Helvetica" w:eastAsia="新細明體" w:hAnsi="Helvetica" w:cs="Helvetica" w:hint="eastAsia"/>
          <w:color w:val="333333"/>
          <w:spacing w:val="24"/>
          <w:kern w:val="0"/>
          <w:sz w:val="26"/>
          <w:szCs w:val="26"/>
        </w:rPr>
        <w:t>產物聯絡人：</w:t>
      </w:r>
      <w:r w:rsidR="00A61641">
        <w:rPr>
          <w:rFonts w:ascii="Helvetica" w:eastAsia="新細明體" w:hAnsi="Helvetica" w:cs="Helvetica" w:hint="eastAsia"/>
          <w:color w:val="333333"/>
          <w:spacing w:val="24"/>
          <w:kern w:val="0"/>
          <w:sz w:val="26"/>
          <w:szCs w:val="26"/>
        </w:rPr>
        <w:t>李淑惠小姐</w:t>
      </w:r>
      <w:r w:rsidR="00E13D14">
        <w:rPr>
          <w:rFonts w:ascii="Helvetica" w:eastAsia="新細明體" w:hAnsi="Helvetica" w:cs="Helvetica" w:hint="eastAsia"/>
          <w:color w:val="333333"/>
          <w:spacing w:val="24"/>
          <w:kern w:val="0"/>
          <w:sz w:val="26"/>
          <w:szCs w:val="26"/>
        </w:rPr>
        <w:t xml:space="preserve"> (02)</w:t>
      </w:r>
      <w:r w:rsidR="00A61641">
        <w:rPr>
          <w:rFonts w:ascii="Helvetica" w:eastAsia="新細明體" w:hAnsi="Helvetica" w:cs="Helvetica" w:hint="eastAsia"/>
          <w:color w:val="333333"/>
          <w:spacing w:val="24"/>
          <w:kern w:val="0"/>
          <w:sz w:val="26"/>
          <w:szCs w:val="26"/>
        </w:rPr>
        <w:t>2257-6455</w:t>
      </w:r>
      <w:r w:rsidR="00E13D14">
        <w:rPr>
          <w:rFonts w:ascii="Helvetica" w:eastAsia="新細明體" w:hAnsi="Helvetica" w:cs="Helvetica" w:hint="eastAsia"/>
          <w:color w:val="333333"/>
          <w:spacing w:val="24"/>
          <w:kern w:val="0"/>
          <w:sz w:val="26"/>
          <w:szCs w:val="26"/>
        </w:rPr>
        <w:t>#2</w:t>
      </w:r>
      <w:r w:rsidR="00A61641">
        <w:rPr>
          <w:rFonts w:ascii="Helvetica" w:eastAsia="新細明體" w:hAnsi="Helvetica" w:cs="Helvetica" w:hint="eastAsia"/>
          <w:color w:val="333333"/>
          <w:spacing w:val="24"/>
          <w:kern w:val="0"/>
          <w:sz w:val="26"/>
          <w:szCs w:val="26"/>
        </w:rPr>
        <w:t>39</w:t>
      </w:r>
    </w:p>
    <w:p w:rsidR="00E13D14" w:rsidRPr="00452F43" w:rsidRDefault="00E13D14" w:rsidP="00452F43">
      <w:pPr>
        <w:widowControl/>
        <w:spacing w:after="150" w:line="336" w:lineRule="atLeast"/>
        <w:jc w:val="both"/>
        <w:rPr>
          <w:rFonts w:ascii="Helvetica" w:eastAsia="新細明體" w:hAnsi="Helvetica" w:cs="Helvetica"/>
          <w:color w:val="333333"/>
          <w:spacing w:val="24"/>
          <w:kern w:val="0"/>
          <w:sz w:val="26"/>
          <w:szCs w:val="26"/>
        </w:rPr>
      </w:pPr>
    </w:p>
    <w:p w:rsidR="00452F43" w:rsidRPr="00452F43" w:rsidRDefault="00452F43" w:rsidP="00452F43">
      <w:pPr>
        <w:widowControl/>
        <w:pBdr>
          <w:bottom w:val="dotted" w:sz="6" w:space="0" w:color="969599"/>
        </w:pBdr>
        <w:spacing w:before="150" w:after="150" w:line="336" w:lineRule="atLeast"/>
        <w:jc w:val="both"/>
        <w:rPr>
          <w:rFonts w:ascii="Helvetica" w:eastAsia="新細明體" w:hAnsi="Helvetica" w:cs="Helvetica"/>
          <w:color w:val="669999"/>
          <w:spacing w:val="24"/>
          <w:kern w:val="0"/>
          <w:sz w:val="21"/>
          <w:szCs w:val="21"/>
        </w:rPr>
      </w:pPr>
      <w:r w:rsidRPr="00452F43">
        <w:rPr>
          <w:rFonts w:ascii="Helvetica" w:eastAsia="新細明體" w:hAnsi="Helvetica" w:cs="Helvetica"/>
          <w:color w:val="669999"/>
          <w:spacing w:val="24"/>
          <w:kern w:val="0"/>
          <w:sz w:val="21"/>
          <w:szCs w:val="21"/>
        </w:rPr>
        <w:t> </w:t>
      </w:r>
      <w:r w:rsidRPr="00452F43">
        <w:rPr>
          <w:rFonts w:ascii="Helvetica" w:eastAsia="新細明體" w:hAnsi="Helvetica" w:cs="Helvetica"/>
          <w:color w:val="669999"/>
          <w:spacing w:val="24"/>
          <w:kern w:val="0"/>
          <w:sz w:val="21"/>
          <w:szCs w:val="21"/>
        </w:rPr>
        <w:t>相關網址：</w:t>
      </w:r>
      <w:r w:rsidRPr="00452F43">
        <w:rPr>
          <w:rFonts w:ascii="Helvetica" w:eastAsia="新細明體" w:hAnsi="Helvetica" w:cs="Helvetica"/>
          <w:color w:val="669999"/>
          <w:spacing w:val="24"/>
          <w:kern w:val="0"/>
          <w:sz w:val="21"/>
          <w:szCs w:val="21"/>
        </w:rPr>
        <w:t> </w:t>
      </w:r>
      <w:hyperlink r:id="rId6" w:tooltip="另開新視窗連至「  第一產物保險公司網頁」網頁" w:history="1">
        <w:r w:rsidR="00A61641" w:rsidRPr="00A61641">
          <w:rPr>
            <w:rFonts w:ascii="Verdana" w:hAnsi="Verdana"/>
            <w:color w:val="FFFFFF"/>
            <w:szCs w:val="24"/>
            <w:shd w:val="clear" w:color="auto" w:fill="009999"/>
          </w:rPr>
          <w:t>旺旺友聯產物保險公司</w:t>
        </w:r>
        <w:r w:rsidR="00A61641" w:rsidRPr="00A61641">
          <w:rPr>
            <w:rFonts w:ascii="Verdana" w:hAnsi="Verdana" w:hint="eastAsia"/>
            <w:color w:val="FFFFFF"/>
            <w:szCs w:val="24"/>
            <w:shd w:val="clear" w:color="auto" w:fill="009999"/>
          </w:rPr>
          <w:t xml:space="preserve"> </w:t>
        </w:r>
        <w:r w:rsidR="00A61641" w:rsidRPr="00A61641">
          <w:rPr>
            <w:rFonts w:ascii="Verdana" w:hAnsi="Verdana" w:hint="eastAsia"/>
            <w:color w:val="FFFFFF"/>
            <w:szCs w:val="24"/>
            <w:shd w:val="clear" w:color="auto" w:fill="009999"/>
          </w:rPr>
          <w:t>網頁</w:t>
        </w:r>
      </w:hyperlink>
      <w:r w:rsidR="00650EA6" w:rsidRPr="00650EA6">
        <w:rPr>
          <w:rFonts w:ascii="Verdana" w:hAnsi="Verdana" w:hint="eastAsia"/>
          <w:color w:val="FFFFFF"/>
          <w:szCs w:val="24"/>
        </w:rPr>
        <w:t xml:space="preserve">  </w:t>
      </w:r>
      <w:hyperlink r:id="rId7" w:history="1">
        <w:r w:rsidR="00650EA6" w:rsidRPr="00214F85">
          <w:rPr>
            <w:rStyle w:val="a3"/>
          </w:rPr>
          <w:t>https://www.wwunion.com/project16/</w:t>
        </w:r>
      </w:hyperlink>
    </w:p>
    <w:p w:rsidR="00452F43" w:rsidRDefault="00452F43">
      <w:pPr>
        <w:rPr>
          <w:rFonts w:hint="eastAsia"/>
        </w:rPr>
      </w:pPr>
    </w:p>
    <w:p w:rsidR="00650EA6" w:rsidRPr="00452F43" w:rsidRDefault="00650EA6">
      <w:bookmarkStart w:id="0" w:name="_GoBack"/>
      <w:bookmarkEnd w:id="0"/>
    </w:p>
    <w:sectPr w:rsidR="00650EA6" w:rsidRPr="00452F43" w:rsidSect="00E13D14">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sөũ">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D0F"/>
    <w:multiLevelType w:val="multilevel"/>
    <w:tmpl w:val="E250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43"/>
    <w:rsid w:val="0026579A"/>
    <w:rsid w:val="00286685"/>
    <w:rsid w:val="00452F43"/>
    <w:rsid w:val="00650EA6"/>
    <w:rsid w:val="00776A87"/>
    <w:rsid w:val="00A61641"/>
    <w:rsid w:val="00AC603B"/>
    <w:rsid w:val="00D851C4"/>
    <w:rsid w:val="00E13D14"/>
    <w:rsid w:val="00E66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26579A"/>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9"/>
    <w:qFormat/>
    <w:rsid w:val="00452F43"/>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452F43"/>
    <w:rPr>
      <w:rFonts w:ascii="新細明體" w:eastAsia="新細明體" w:hAnsi="新細明體" w:cs="新細明體"/>
      <w:b/>
      <w:bCs/>
      <w:kern w:val="0"/>
      <w:sz w:val="20"/>
      <w:szCs w:val="20"/>
    </w:rPr>
  </w:style>
  <w:style w:type="paragraph" w:styleId="Web">
    <w:name w:val="Normal (Web)"/>
    <w:basedOn w:val="a"/>
    <w:uiPriority w:val="99"/>
    <w:semiHidden/>
    <w:unhideWhenUsed/>
    <w:rsid w:val="00452F43"/>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452F43"/>
    <w:rPr>
      <w:color w:val="0000FF"/>
      <w:u w:val="single"/>
    </w:rPr>
  </w:style>
  <w:style w:type="character" w:customStyle="1" w:styleId="30">
    <w:name w:val="標題 3 字元"/>
    <w:basedOn w:val="a0"/>
    <w:link w:val="3"/>
    <w:uiPriority w:val="9"/>
    <w:semiHidden/>
    <w:rsid w:val="0026579A"/>
    <w:rPr>
      <w:rFonts w:asciiTheme="majorHAnsi" w:eastAsiaTheme="majorEastAsia" w:hAnsiTheme="majorHAnsi" w:cstheme="majorBidi"/>
      <w:b/>
      <w:bCs/>
      <w:sz w:val="36"/>
      <w:szCs w:val="36"/>
    </w:rPr>
  </w:style>
  <w:style w:type="paragraph" w:styleId="a4">
    <w:name w:val="Balloon Text"/>
    <w:basedOn w:val="a"/>
    <w:link w:val="a5"/>
    <w:uiPriority w:val="99"/>
    <w:semiHidden/>
    <w:unhideWhenUsed/>
    <w:rsid w:val="0026579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6579A"/>
    <w:rPr>
      <w:rFonts w:asciiTheme="majorHAnsi" w:eastAsiaTheme="majorEastAsia" w:hAnsiTheme="majorHAnsi" w:cstheme="majorBidi"/>
      <w:sz w:val="18"/>
      <w:szCs w:val="18"/>
    </w:rPr>
  </w:style>
  <w:style w:type="table" w:styleId="a6">
    <w:name w:val="Table Grid"/>
    <w:basedOn w:val="a1"/>
    <w:uiPriority w:val="59"/>
    <w:rsid w:val="0026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E13D1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26579A"/>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9"/>
    <w:qFormat/>
    <w:rsid w:val="00452F43"/>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452F43"/>
    <w:rPr>
      <w:rFonts w:ascii="新細明體" w:eastAsia="新細明體" w:hAnsi="新細明體" w:cs="新細明體"/>
      <w:b/>
      <w:bCs/>
      <w:kern w:val="0"/>
      <w:sz w:val="20"/>
      <w:szCs w:val="20"/>
    </w:rPr>
  </w:style>
  <w:style w:type="paragraph" w:styleId="Web">
    <w:name w:val="Normal (Web)"/>
    <w:basedOn w:val="a"/>
    <w:uiPriority w:val="99"/>
    <w:semiHidden/>
    <w:unhideWhenUsed/>
    <w:rsid w:val="00452F43"/>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452F43"/>
    <w:rPr>
      <w:color w:val="0000FF"/>
      <w:u w:val="single"/>
    </w:rPr>
  </w:style>
  <w:style w:type="character" w:customStyle="1" w:styleId="30">
    <w:name w:val="標題 3 字元"/>
    <w:basedOn w:val="a0"/>
    <w:link w:val="3"/>
    <w:uiPriority w:val="9"/>
    <w:semiHidden/>
    <w:rsid w:val="0026579A"/>
    <w:rPr>
      <w:rFonts w:asciiTheme="majorHAnsi" w:eastAsiaTheme="majorEastAsia" w:hAnsiTheme="majorHAnsi" w:cstheme="majorBidi"/>
      <w:b/>
      <w:bCs/>
      <w:sz w:val="36"/>
      <w:szCs w:val="36"/>
    </w:rPr>
  </w:style>
  <w:style w:type="paragraph" w:styleId="a4">
    <w:name w:val="Balloon Text"/>
    <w:basedOn w:val="a"/>
    <w:link w:val="a5"/>
    <w:uiPriority w:val="99"/>
    <w:semiHidden/>
    <w:unhideWhenUsed/>
    <w:rsid w:val="0026579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6579A"/>
    <w:rPr>
      <w:rFonts w:asciiTheme="majorHAnsi" w:eastAsiaTheme="majorEastAsia" w:hAnsiTheme="majorHAnsi" w:cstheme="majorBidi"/>
      <w:sz w:val="18"/>
      <w:szCs w:val="18"/>
    </w:rPr>
  </w:style>
  <w:style w:type="table" w:styleId="a6">
    <w:name w:val="Table Grid"/>
    <w:basedOn w:val="a1"/>
    <w:uiPriority w:val="59"/>
    <w:rsid w:val="0026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E13D1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46666">
      <w:bodyDiv w:val="1"/>
      <w:marLeft w:val="0"/>
      <w:marRight w:val="0"/>
      <w:marTop w:val="0"/>
      <w:marBottom w:val="0"/>
      <w:divBdr>
        <w:top w:val="none" w:sz="0" w:space="0" w:color="auto"/>
        <w:left w:val="none" w:sz="0" w:space="0" w:color="auto"/>
        <w:bottom w:val="none" w:sz="0" w:space="0" w:color="auto"/>
        <w:right w:val="none" w:sz="0" w:space="0" w:color="auto"/>
      </w:divBdr>
    </w:div>
    <w:div w:id="463546689">
      <w:bodyDiv w:val="1"/>
      <w:marLeft w:val="0"/>
      <w:marRight w:val="0"/>
      <w:marTop w:val="0"/>
      <w:marBottom w:val="0"/>
      <w:divBdr>
        <w:top w:val="none" w:sz="0" w:space="0" w:color="auto"/>
        <w:left w:val="none" w:sz="0" w:space="0" w:color="auto"/>
        <w:bottom w:val="none" w:sz="0" w:space="0" w:color="auto"/>
        <w:right w:val="none" w:sz="0" w:space="0" w:color="auto"/>
      </w:divBdr>
    </w:div>
    <w:div w:id="1315255254">
      <w:bodyDiv w:val="1"/>
      <w:marLeft w:val="0"/>
      <w:marRight w:val="0"/>
      <w:marTop w:val="0"/>
      <w:marBottom w:val="0"/>
      <w:divBdr>
        <w:top w:val="none" w:sz="0" w:space="0" w:color="auto"/>
        <w:left w:val="none" w:sz="0" w:space="0" w:color="auto"/>
        <w:bottom w:val="none" w:sz="0" w:space="0" w:color="auto"/>
        <w:right w:val="none" w:sz="0" w:space="0" w:color="auto"/>
      </w:divBdr>
      <w:divsChild>
        <w:div w:id="981731487">
          <w:marLeft w:val="0"/>
          <w:marRight w:val="0"/>
          <w:marTop w:val="0"/>
          <w:marBottom w:val="0"/>
          <w:divBdr>
            <w:top w:val="single" w:sz="6" w:space="11" w:color="D6E9C6"/>
            <w:left w:val="single" w:sz="6" w:space="11" w:color="D6E9C6"/>
            <w:bottom w:val="single" w:sz="6" w:space="11" w:color="D6E9C6"/>
            <w:right w:val="single" w:sz="6" w:space="11" w:color="D6E9C6"/>
          </w:divBdr>
        </w:div>
        <w:div w:id="418644557">
          <w:marLeft w:val="0"/>
          <w:marRight w:val="0"/>
          <w:marTop w:val="0"/>
          <w:marBottom w:val="300"/>
          <w:divBdr>
            <w:top w:val="single" w:sz="6" w:space="0" w:color="D6E9C6"/>
            <w:left w:val="single" w:sz="6" w:space="0" w:color="D6E9C6"/>
            <w:bottom w:val="single" w:sz="6" w:space="0" w:color="D6E9C6"/>
            <w:right w:val="single" w:sz="6" w:space="0" w:color="D6E9C6"/>
          </w:divBdr>
          <w:divsChild>
            <w:div w:id="692726978">
              <w:marLeft w:val="0"/>
              <w:marRight w:val="0"/>
              <w:marTop w:val="0"/>
              <w:marBottom w:val="0"/>
              <w:divBdr>
                <w:top w:val="none" w:sz="0" w:space="8" w:color="D6E9C6"/>
                <w:left w:val="none" w:sz="0" w:space="11" w:color="D6E9C6"/>
                <w:bottom w:val="single" w:sz="6" w:space="8" w:color="D6E9C6"/>
                <w:right w:val="none" w:sz="0" w:space="11" w:color="D6E9C6"/>
              </w:divBdr>
              <w:divsChild>
                <w:div w:id="119808227">
                  <w:marLeft w:val="-225"/>
                  <w:marRight w:val="-225"/>
                  <w:marTop w:val="0"/>
                  <w:marBottom w:val="0"/>
                  <w:divBdr>
                    <w:top w:val="none" w:sz="0" w:space="0" w:color="auto"/>
                    <w:left w:val="none" w:sz="0" w:space="0" w:color="auto"/>
                    <w:bottom w:val="none" w:sz="0" w:space="0" w:color="auto"/>
                    <w:right w:val="none" w:sz="0" w:space="0" w:color="auto"/>
                  </w:divBdr>
                  <w:divsChild>
                    <w:div w:id="1377588631">
                      <w:marLeft w:val="0"/>
                      <w:marRight w:val="0"/>
                      <w:marTop w:val="0"/>
                      <w:marBottom w:val="0"/>
                      <w:divBdr>
                        <w:top w:val="none" w:sz="0" w:space="0" w:color="auto"/>
                        <w:left w:val="none" w:sz="0" w:space="0" w:color="auto"/>
                        <w:bottom w:val="none" w:sz="0" w:space="0" w:color="auto"/>
                        <w:right w:val="none" w:sz="0" w:space="0" w:color="auto"/>
                      </w:divBdr>
                    </w:div>
                    <w:div w:id="665321976">
                      <w:marLeft w:val="0"/>
                      <w:marRight w:val="0"/>
                      <w:marTop w:val="0"/>
                      <w:marBottom w:val="0"/>
                      <w:divBdr>
                        <w:top w:val="none" w:sz="0" w:space="0" w:color="auto"/>
                        <w:left w:val="none" w:sz="0" w:space="0" w:color="auto"/>
                        <w:bottom w:val="none" w:sz="0" w:space="0" w:color="auto"/>
                        <w:right w:val="none" w:sz="0" w:space="0" w:color="auto"/>
                      </w:divBdr>
                    </w:div>
                    <w:div w:id="123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491">
              <w:marLeft w:val="0"/>
              <w:marRight w:val="0"/>
              <w:marTop w:val="0"/>
              <w:marBottom w:val="0"/>
              <w:divBdr>
                <w:top w:val="none" w:sz="0" w:space="0" w:color="auto"/>
                <w:left w:val="none" w:sz="0" w:space="0" w:color="auto"/>
                <w:bottom w:val="none" w:sz="0" w:space="0" w:color="auto"/>
                <w:right w:val="none" w:sz="0" w:space="0" w:color="auto"/>
              </w:divBdr>
              <w:divsChild>
                <w:div w:id="571357879">
                  <w:marLeft w:val="-225"/>
                  <w:marRight w:val="-225"/>
                  <w:marTop w:val="0"/>
                  <w:marBottom w:val="0"/>
                  <w:divBdr>
                    <w:top w:val="none" w:sz="0" w:space="0" w:color="auto"/>
                    <w:left w:val="none" w:sz="0" w:space="0" w:color="auto"/>
                    <w:bottom w:val="none" w:sz="0" w:space="0" w:color="auto"/>
                    <w:right w:val="none" w:sz="0" w:space="0" w:color="auto"/>
                  </w:divBdr>
                  <w:divsChild>
                    <w:div w:id="644747222">
                      <w:marLeft w:val="0"/>
                      <w:marRight w:val="0"/>
                      <w:marTop w:val="0"/>
                      <w:marBottom w:val="0"/>
                      <w:divBdr>
                        <w:top w:val="none" w:sz="0" w:space="0" w:color="auto"/>
                        <w:left w:val="none" w:sz="0" w:space="0" w:color="auto"/>
                        <w:bottom w:val="none" w:sz="0" w:space="0" w:color="auto"/>
                        <w:right w:val="none" w:sz="0" w:space="0" w:color="auto"/>
                      </w:divBdr>
                    </w:div>
                    <w:div w:id="228002749">
                      <w:marLeft w:val="0"/>
                      <w:marRight w:val="0"/>
                      <w:marTop w:val="0"/>
                      <w:marBottom w:val="0"/>
                      <w:divBdr>
                        <w:top w:val="none" w:sz="0" w:space="0" w:color="auto"/>
                        <w:left w:val="none" w:sz="0" w:space="0" w:color="auto"/>
                        <w:bottom w:val="none" w:sz="0" w:space="0" w:color="auto"/>
                        <w:right w:val="none" w:sz="0" w:space="0" w:color="auto"/>
                      </w:divBdr>
                    </w:div>
                    <w:div w:id="1565675246">
                      <w:marLeft w:val="0"/>
                      <w:marRight w:val="0"/>
                      <w:marTop w:val="0"/>
                      <w:marBottom w:val="0"/>
                      <w:divBdr>
                        <w:top w:val="none" w:sz="0" w:space="0" w:color="auto"/>
                        <w:left w:val="none" w:sz="0" w:space="0" w:color="auto"/>
                        <w:bottom w:val="none" w:sz="0" w:space="0" w:color="auto"/>
                        <w:right w:val="none" w:sz="0" w:space="0" w:color="auto"/>
                      </w:divBdr>
                    </w:div>
                  </w:divsChild>
                </w:div>
                <w:div w:id="1133523937">
                  <w:marLeft w:val="-225"/>
                  <w:marRight w:val="-225"/>
                  <w:marTop w:val="0"/>
                  <w:marBottom w:val="0"/>
                  <w:divBdr>
                    <w:top w:val="none" w:sz="0" w:space="0" w:color="auto"/>
                    <w:left w:val="none" w:sz="0" w:space="0" w:color="auto"/>
                    <w:bottom w:val="none" w:sz="0" w:space="0" w:color="auto"/>
                    <w:right w:val="none" w:sz="0" w:space="0" w:color="auto"/>
                  </w:divBdr>
                  <w:divsChild>
                    <w:div w:id="389773797">
                      <w:marLeft w:val="0"/>
                      <w:marRight w:val="0"/>
                      <w:marTop w:val="0"/>
                      <w:marBottom w:val="0"/>
                      <w:divBdr>
                        <w:top w:val="none" w:sz="0" w:space="0" w:color="auto"/>
                        <w:left w:val="none" w:sz="0" w:space="0" w:color="auto"/>
                        <w:bottom w:val="none" w:sz="0" w:space="0" w:color="auto"/>
                        <w:right w:val="none" w:sz="0" w:space="0" w:color="auto"/>
                      </w:divBdr>
                    </w:div>
                    <w:div w:id="1857306822">
                      <w:marLeft w:val="0"/>
                      <w:marRight w:val="0"/>
                      <w:marTop w:val="0"/>
                      <w:marBottom w:val="0"/>
                      <w:divBdr>
                        <w:top w:val="none" w:sz="0" w:space="0" w:color="auto"/>
                        <w:left w:val="none" w:sz="0" w:space="0" w:color="auto"/>
                        <w:bottom w:val="none" w:sz="0" w:space="0" w:color="auto"/>
                        <w:right w:val="none" w:sz="0" w:space="0" w:color="auto"/>
                      </w:divBdr>
                    </w:div>
                    <w:div w:id="2867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7708">
      <w:bodyDiv w:val="1"/>
      <w:marLeft w:val="0"/>
      <w:marRight w:val="0"/>
      <w:marTop w:val="0"/>
      <w:marBottom w:val="0"/>
      <w:divBdr>
        <w:top w:val="none" w:sz="0" w:space="0" w:color="auto"/>
        <w:left w:val="none" w:sz="0" w:space="0" w:color="auto"/>
        <w:bottom w:val="none" w:sz="0" w:space="0" w:color="auto"/>
        <w:right w:val="none" w:sz="0" w:space="0" w:color="auto"/>
      </w:divBdr>
      <w:divsChild>
        <w:div w:id="1387797212">
          <w:marLeft w:val="105"/>
          <w:marRight w:val="105"/>
          <w:marTop w:val="0"/>
          <w:marBottom w:val="0"/>
          <w:divBdr>
            <w:top w:val="none" w:sz="0" w:space="0" w:color="auto"/>
            <w:left w:val="none" w:sz="0" w:space="0" w:color="auto"/>
            <w:bottom w:val="none" w:sz="0" w:space="0" w:color="auto"/>
            <w:right w:val="none" w:sz="0" w:space="0" w:color="auto"/>
          </w:divBdr>
        </w:div>
        <w:div w:id="2104573341">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wunion.com/project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stins.com.tw/kyc/ED1010.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ASUSB85MG</dc:creator>
  <cp:lastModifiedBy>ASUSB85MG</cp:lastModifiedBy>
  <cp:revision>6</cp:revision>
  <dcterms:created xsi:type="dcterms:W3CDTF">2018-02-05T08:07:00Z</dcterms:created>
  <dcterms:modified xsi:type="dcterms:W3CDTF">2018-02-05T08:27:00Z</dcterms:modified>
</cp:coreProperties>
</file>